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16" w:rsidRPr="00B0398C" w:rsidRDefault="004216F6" w:rsidP="00B0398C">
      <w:pPr>
        <w:pStyle w:val="CUPSectionhead"/>
      </w:pPr>
      <w:r>
        <w:t xml:space="preserve">Scheme of </w:t>
      </w:r>
      <w:r w:rsidR="00D77B30">
        <w:t>w</w:t>
      </w:r>
      <w:r>
        <w:t>ork</w:t>
      </w:r>
    </w:p>
    <w:p w:rsidR="004216F6" w:rsidRPr="00B0398C" w:rsidRDefault="004216F6" w:rsidP="00B0398C">
      <w:pPr>
        <w:pStyle w:val="CUPAhead"/>
      </w:pPr>
      <w:r w:rsidRPr="00F45061">
        <w:t xml:space="preserve">Unit </w:t>
      </w:r>
      <w:r w:rsidR="000B685C">
        <w:t>1.11</w:t>
      </w:r>
      <w:r w:rsidR="00880716" w:rsidRPr="00B0398C">
        <w:t xml:space="preserve">: </w:t>
      </w:r>
      <w:proofErr w:type="spellStart"/>
      <w:r w:rsidR="00D77B30">
        <w:t>P</w:t>
      </w:r>
      <w:r w:rsidR="000B685C">
        <w:t>layscripts</w:t>
      </w:r>
      <w:proofErr w:type="spellEnd"/>
    </w:p>
    <w:p w:rsidR="00BC25F2" w:rsidRPr="00B0398C" w:rsidRDefault="00BC25F2" w:rsidP="00BC25F2">
      <w:pPr>
        <w:pStyle w:val="CUPChead"/>
        <w:spacing w:before="120"/>
      </w:pPr>
      <w:r>
        <w:t>Overview</w:t>
      </w:r>
    </w:p>
    <w:p w:rsidR="00A5448F" w:rsidRPr="00B0398C" w:rsidRDefault="00880716" w:rsidP="00B0398C">
      <w:pPr>
        <w:pStyle w:val="CUPBodytext"/>
      </w:pPr>
      <w:r>
        <w:t xml:space="preserve">Unit 1.11 focuses on </w:t>
      </w:r>
      <w:proofErr w:type="spellStart"/>
      <w:r>
        <w:t>playscripts</w:t>
      </w:r>
      <w:proofErr w:type="spellEnd"/>
      <w:r>
        <w:t xml:space="preserve">, </w:t>
      </w:r>
      <w:proofErr w:type="spellStart"/>
      <w:r>
        <w:t>emphasising</w:t>
      </w:r>
      <w:proofErr w:type="spellEnd"/>
      <w:r>
        <w:t xml:space="preserve"> the dynamic interplay between written script and dramatic performance.</w:t>
      </w:r>
      <w:r w:rsidR="00B0398C">
        <w:br/>
      </w:r>
    </w:p>
    <w:tbl>
      <w:tblPr>
        <w:tblStyle w:val="TableGrid"/>
        <w:tblW w:w="10310" w:type="dxa"/>
        <w:tblLook w:val="04A0" w:firstRow="1" w:lastRow="0" w:firstColumn="1" w:lastColumn="0" w:noHBand="0" w:noVBand="1"/>
      </w:tblPr>
      <w:tblGrid>
        <w:gridCol w:w="5083"/>
        <w:gridCol w:w="5227"/>
      </w:tblGrid>
      <w:tr w:rsidR="00A5448F" w:rsidRPr="008B1B7C" w:rsidTr="00C25D3E">
        <w:tc>
          <w:tcPr>
            <w:tcW w:w="5083" w:type="dxa"/>
          </w:tcPr>
          <w:p w:rsidR="00A5448F" w:rsidRPr="00B0398C" w:rsidRDefault="00A5448F" w:rsidP="00B0398C">
            <w:pPr>
              <w:pStyle w:val="CUPChead"/>
              <w:spacing w:before="120"/>
            </w:pPr>
            <w:r w:rsidRPr="00B0398C">
              <w:t xml:space="preserve">Learning </w:t>
            </w:r>
            <w:r w:rsidR="0092054E" w:rsidRPr="0092054E">
              <w:t>objectives</w:t>
            </w:r>
          </w:p>
          <w:p w:rsidR="00D77B30" w:rsidRPr="00CD50C1" w:rsidRDefault="00B0398C" w:rsidP="00B0398C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CD50C1">
              <w:rPr>
                <w:rFonts w:ascii="Symbol" w:hAnsi="Symbol"/>
              </w:rPr>
              <w:t></w:t>
            </w:r>
            <w:r w:rsidRPr="00B0398C">
              <w:tab/>
            </w:r>
            <w:r w:rsidR="00D77B30" w:rsidRPr="00B0398C">
              <w:t>Become</w:t>
            </w:r>
            <w:r w:rsidR="00D77B30" w:rsidRPr="00CD50C1">
              <w:t xml:space="preserve"> familiar with the key features of </w:t>
            </w:r>
            <w:proofErr w:type="spellStart"/>
            <w:r w:rsidR="00D77B30" w:rsidRPr="00CD50C1">
              <w:t>playscripts</w:t>
            </w:r>
            <w:proofErr w:type="spellEnd"/>
            <w:r w:rsidR="00D77B30" w:rsidRPr="00CD50C1">
              <w:t>, and how playwrights use these features to construct meaning</w:t>
            </w:r>
            <w:r w:rsidR="00340905">
              <w:t>.</w:t>
            </w:r>
          </w:p>
          <w:p w:rsidR="007050EA" w:rsidRPr="00B52076" w:rsidRDefault="00B0398C" w:rsidP="00B0398C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B0398C">
              <w:tab/>
            </w:r>
            <w:r w:rsidR="00D77B30" w:rsidRPr="00CD50C1">
              <w:t xml:space="preserve">Gain an understanding of </w:t>
            </w:r>
            <w:proofErr w:type="spellStart"/>
            <w:r w:rsidR="00D77B30" w:rsidRPr="00CD50C1">
              <w:t>playscripts</w:t>
            </w:r>
            <w:proofErr w:type="spellEnd"/>
            <w:r w:rsidR="00D77B30" w:rsidRPr="00CD50C1">
              <w:t xml:space="preserve"> by performing scenes and lines from them.</w:t>
            </w:r>
          </w:p>
        </w:tc>
        <w:tc>
          <w:tcPr>
            <w:tcW w:w="5227" w:type="dxa"/>
          </w:tcPr>
          <w:p w:rsidR="00A5448F" w:rsidRPr="008B1B7C" w:rsidRDefault="0092054E" w:rsidP="00B0398C">
            <w:pPr>
              <w:pStyle w:val="CUPChead"/>
              <w:spacing w:before="120"/>
            </w:pPr>
            <w:r>
              <w:t>AOE</w:t>
            </w:r>
            <w:r w:rsidR="00A5448F" w:rsidRPr="00B0398C">
              <w:t xml:space="preserve"> </w:t>
            </w:r>
            <w:r w:rsidR="00E054C1" w:rsidRPr="00B0398C">
              <w:t>q</w:t>
            </w:r>
            <w:r w:rsidR="00A5448F" w:rsidRPr="00B0398C">
              <w:t>uestions</w:t>
            </w:r>
          </w:p>
          <w:p w:rsidR="00D77B30" w:rsidRDefault="00B0398C" w:rsidP="00B0398C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B0398C">
              <w:tab/>
            </w:r>
            <w:r w:rsidR="0092054E" w:rsidRPr="0092054E">
              <w:t>How can texts offer insights into other cultures?</w:t>
            </w:r>
          </w:p>
          <w:p w:rsidR="00A0667C" w:rsidRPr="008B1B7C" w:rsidRDefault="00B0398C" w:rsidP="00B0398C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B0398C">
              <w:tab/>
            </w:r>
            <w:r w:rsidR="0092054E" w:rsidRPr="0092054E">
              <w:t>How can cultural contexts influence how texts are written and received?</w:t>
            </w:r>
          </w:p>
        </w:tc>
      </w:tr>
      <w:tr w:rsidR="00D77B30" w:rsidRPr="008B1B7C" w:rsidTr="00C25D3E">
        <w:tc>
          <w:tcPr>
            <w:tcW w:w="5083" w:type="dxa"/>
          </w:tcPr>
          <w:p w:rsidR="00187ADE" w:rsidRPr="00B0398C" w:rsidRDefault="0092054E" w:rsidP="00B0398C">
            <w:pPr>
              <w:pStyle w:val="CUPChead"/>
              <w:spacing w:before="120"/>
            </w:pPr>
            <w:r w:rsidRPr="00B0398C">
              <w:t>C</w:t>
            </w:r>
            <w:r w:rsidR="00D77B30" w:rsidRPr="00B0398C">
              <w:t>oncept</w:t>
            </w:r>
          </w:p>
          <w:p w:rsidR="00187ADE" w:rsidRDefault="0092054E" w:rsidP="00B0398C">
            <w:pPr>
              <w:pStyle w:val="CUPBodytext"/>
              <w:rPr>
                <w:b/>
              </w:rPr>
            </w:pPr>
            <w:r w:rsidRPr="0092054E">
              <w:rPr>
                <w:b/>
              </w:rPr>
              <w:t>Representation</w:t>
            </w:r>
            <w:r w:rsidR="00D76A89">
              <w:t xml:space="preserve"> how an author’s ideas are represented differently depending on the media used</w:t>
            </w:r>
            <w:r w:rsidR="00340905">
              <w:t>:</w:t>
            </w:r>
            <w:r w:rsidR="00D76A89">
              <w:t xml:space="preserve"> prose, stage or film</w:t>
            </w:r>
            <w:r w:rsidR="00E054C1">
              <w:t>.</w:t>
            </w:r>
          </w:p>
        </w:tc>
        <w:tc>
          <w:tcPr>
            <w:tcW w:w="5227" w:type="dxa"/>
          </w:tcPr>
          <w:p w:rsidR="00D76A89" w:rsidRPr="00B0398C" w:rsidRDefault="00D76A89" w:rsidP="00B0398C">
            <w:pPr>
              <w:pStyle w:val="CUPChead"/>
              <w:spacing w:before="120"/>
            </w:pPr>
            <w:r w:rsidRPr="00B0398C">
              <w:t>TOK</w:t>
            </w:r>
          </w:p>
          <w:p w:rsidR="00D77B30" w:rsidRPr="00D76A89" w:rsidRDefault="00D76A89" w:rsidP="00B0398C">
            <w:pPr>
              <w:pStyle w:val="CUPBodytext"/>
            </w:pPr>
            <w:r w:rsidRPr="00CD50C1">
              <w:t>Why go to the theatre? Students think about the last time they went to the theatre or cinema</w:t>
            </w:r>
            <w:r w:rsidR="00E054C1">
              <w:t>, and consider the role of theatre and film in eliciting emotion – in particular</w:t>
            </w:r>
            <w:r w:rsidR="0092054E">
              <w:t>,</w:t>
            </w:r>
            <w:r w:rsidR="00E054C1">
              <w:t xml:space="preserve"> the Aristotelian notion of ‘</w:t>
            </w:r>
            <w:proofErr w:type="gramStart"/>
            <w:r w:rsidR="00E054C1">
              <w:t>catharsis’</w:t>
            </w:r>
            <w:proofErr w:type="gramEnd"/>
            <w:r w:rsidR="00E054C1">
              <w:t>.</w:t>
            </w:r>
          </w:p>
        </w:tc>
      </w:tr>
      <w:tr w:rsidR="00DA681C" w:rsidRPr="008B1B7C" w:rsidTr="00C25D3E">
        <w:tc>
          <w:tcPr>
            <w:tcW w:w="5083" w:type="dxa"/>
          </w:tcPr>
          <w:p w:rsidR="00DA681C" w:rsidRPr="00B0398C" w:rsidRDefault="00DA681C" w:rsidP="00B0398C">
            <w:pPr>
              <w:pStyle w:val="CUPChead"/>
              <w:spacing w:before="120"/>
            </w:pPr>
            <w:r w:rsidRPr="00B0398C">
              <w:t>Extended essay</w:t>
            </w:r>
          </w:p>
          <w:p w:rsidR="00E9449B" w:rsidRPr="008B1B7C" w:rsidRDefault="00E9449B" w:rsidP="00B0398C">
            <w:pPr>
              <w:pStyle w:val="CUPBodytext"/>
              <w:rPr>
                <w:b/>
              </w:rPr>
            </w:pPr>
            <w:r>
              <w:t xml:space="preserve">The </w:t>
            </w:r>
            <w:proofErr w:type="spellStart"/>
            <w:r>
              <w:t>playscripts</w:t>
            </w:r>
            <w:proofErr w:type="spellEnd"/>
            <w:r>
              <w:t xml:space="preserve"> in this unit may prove useful for Category 2 extended essays, which allow you to compare and contrast a work written in English with a work in translation. </w:t>
            </w:r>
          </w:p>
        </w:tc>
        <w:tc>
          <w:tcPr>
            <w:tcW w:w="5227" w:type="dxa"/>
          </w:tcPr>
          <w:p w:rsidR="00DA681C" w:rsidRPr="00B0398C" w:rsidRDefault="00DA681C" w:rsidP="00B0398C">
            <w:pPr>
              <w:pStyle w:val="CUPChead"/>
              <w:spacing w:before="120"/>
            </w:pPr>
            <w:r w:rsidRPr="00B0398C">
              <w:t>CAS</w:t>
            </w:r>
          </w:p>
          <w:p w:rsidR="00DA681C" w:rsidRPr="00CD50C1" w:rsidDel="00D76A89" w:rsidRDefault="00E9449B" w:rsidP="00B0398C">
            <w:pPr>
              <w:pStyle w:val="CUPBodytext"/>
            </w:pPr>
            <w:r>
              <w:t xml:space="preserve">Performing in a staged production of a play is a good activity for the CAS requirement. Creativity involves both self-expression and collaboration. </w:t>
            </w:r>
          </w:p>
        </w:tc>
      </w:tr>
      <w:tr w:rsidR="00A5448F" w:rsidRPr="008B1B7C" w:rsidTr="00C25D3E">
        <w:trPr>
          <w:trHeight w:val="1675"/>
        </w:trPr>
        <w:tc>
          <w:tcPr>
            <w:tcW w:w="5083" w:type="dxa"/>
          </w:tcPr>
          <w:p w:rsidR="00E412BA" w:rsidRPr="00B0398C" w:rsidRDefault="00A5448F" w:rsidP="00B0398C">
            <w:pPr>
              <w:pStyle w:val="CUPChead"/>
              <w:spacing w:before="120"/>
            </w:pPr>
            <w:r w:rsidRPr="00B0398C">
              <w:t>A</w:t>
            </w:r>
            <w:r w:rsidR="00FF6DDB" w:rsidRPr="00B0398C">
              <w:t>TL</w:t>
            </w:r>
          </w:p>
          <w:p w:rsidR="007050EA" w:rsidRPr="007050EA" w:rsidRDefault="00E054C1" w:rsidP="00B0398C">
            <w:pPr>
              <w:pStyle w:val="CUPBodytext"/>
            </w:pPr>
            <w:r w:rsidRPr="00CD50C1">
              <w:rPr>
                <w:b/>
              </w:rPr>
              <w:t>Thinking</w:t>
            </w:r>
            <w:r w:rsidR="0092054E">
              <w:rPr>
                <w:b/>
              </w:rPr>
              <w:t xml:space="preserve"> skills</w:t>
            </w:r>
            <w:r>
              <w:t xml:space="preserve"> – Students are encouraged to make predictions about texts. This is a good way to activate and encourage critical thinking, as it involves mapping new ideas onto existing knowledge. </w:t>
            </w:r>
          </w:p>
        </w:tc>
        <w:tc>
          <w:tcPr>
            <w:tcW w:w="5227" w:type="dxa"/>
          </w:tcPr>
          <w:p w:rsidR="00A5448F" w:rsidRPr="00B0398C" w:rsidRDefault="00D77B30" w:rsidP="00B0398C">
            <w:pPr>
              <w:pStyle w:val="CUPChead"/>
              <w:spacing w:before="120"/>
            </w:pPr>
            <w:r w:rsidRPr="00B0398C">
              <w:t>International</w:t>
            </w:r>
            <w:r w:rsidR="0092054E">
              <w:t xml:space="preserve"> </w:t>
            </w:r>
            <w:r w:rsidRPr="00B0398C">
              <w:t>mindedness</w:t>
            </w:r>
          </w:p>
          <w:p w:rsidR="00A5448F" w:rsidRPr="00C960FC" w:rsidRDefault="00340905" w:rsidP="00B0398C">
            <w:pPr>
              <w:pStyle w:val="CUPBodytext"/>
            </w:pPr>
            <w:r>
              <w:t xml:space="preserve">Students are reminded of the </w:t>
            </w:r>
            <w:r w:rsidR="00E054C1">
              <w:t xml:space="preserve">importance of reading works in translation, for broadening understanding of other cultures and times in history. </w:t>
            </w:r>
          </w:p>
        </w:tc>
      </w:tr>
      <w:tr w:rsidR="00A5448F" w:rsidRPr="008B1B7C" w:rsidTr="00C25D3E">
        <w:tc>
          <w:tcPr>
            <w:tcW w:w="10310" w:type="dxa"/>
            <w:gridSpan w:val="2"/>
          </w:tcPr>
          <w:p w:rsidR="00A5448F" w:rsidRPr="00B0398C" w:rsidRDefault="00A5448F" w:rsidP="00B0398C">
            <w:pPr>
              <w:pStyle w:val="CUPChead"/>
              <w:spacing w:before="120"/>
            </w:pPr>
            <w:r w:rsidRPr="00B0398C">
              <w:t xml:space="preserve">Learner </w:t>
            </w:r>
            <w:r w:rsidR="00E054C1" w:rsidRPr="00B0398C">
              <w:t>p</w:t>
            </w:r>
            <w:r w:rsidRPr="00B0398C">
              <w:t xml:space="preserve">ortfolio </w:t>
            </w:r>
          </w:p>
          <w:p w:rsidR="00A32BB8" w:rsidRDefault="00E054C1" w:rsidP="00B0398C">
            <w:pPr>
              <w:pStyle w:val="CUPBodytext"/>
            </w:pPr>
            <w:r>
              <w:t xml:space="preserve">Activity </w:t>
            </w:r>
            <w:r w:rsidR="006D7CBF">
              <w:t>11.1 Students consider the importance of voice inflection and body language in constructing meaning.</w:t>
            </w:r>
          </w:p>
          <w:p w:rsidR="006D7CBF" w:rsidRDefault="00E054C1" w:rsidP="00B0398C">
            <w:pPr>
              <w:pStyle w:val="CUPBodytext"/>
            </w:pPr>
            <w:r>
              <w:t xml:space="preserve">Activity </w:t>
            </w:r>
            <w:r w:rsidR="006D7CBF">
              <w:t>11.2 Students consider famous lines</w:t>
            </w:r>
            <w:r w:rsidR="00340905">
              <w:t xml:space="preserve"> from plays or films</w:t>
            </w:r>
            <w:r w:rsidR="006D7CBF">
              <w:t xml:space="preserve">, and extend their understanding through researching contextual detail. </w:t>
            </w:r>
          </w:p>
          <w:p w:rsidR="00A0667C" w:rsidRPr="00C201EB" w:rsidRDefault="00E054C1" w:rsidP="00B0398C">
            <w:pPr>
              <w:pStyle w:val="CUPBodytext"/>
            </w:pPr>
            <w:r>
              <w:t xml:space="preserve">Activity </w:t>
            </w:r>
            <w:r w:rsidR="00A0667C">
              <w:t xml:space="preserve">11.3 Students read and reflect on an extract from </w:t>
            </w:r>
            <w:r w:rsidR="00A0667C" w:rsidRPr="00B0398C">
              <w:rPr>
                <w:rStyle w:val="Emphasis"/>
              </w:rPr>
              <w:t>A Doll’s House</w:t>
            </w:r>
            <w:r w:rsidR="00C201EB">
              <w:t>.</w:t>
            </w:r>
          </w:p>
          <w:p w:rsidR="00A0667C" w:rsidRDefault="00E054C1" w:rsidP="00B0398C">
            <w:pPr>
              <w:pStyle w:val="CUPBodytext"/>
            </w:pPr>
            <w:r>
              <w:t xml:space="preserve">Activity </w:t>
            </w:r>
            <w:r w:rsidR="00A0667C">
              <w:t>11.4 Students consider the similarities and differences between play texts, prose fiction, and film language</w:t>
            </w:r>
            <w:r>
              <w:t>.</w:t>
            </w:r>
          </w:p>
          <w:p w:rsidR="00A0667C" w:rsidRDefault="00E054C1" w:rsidP="00B0398C">
            <w:pPr>
              <w:pStyle w:val="CUPBodytext"/>
            </w:pPr>
            <w:r>
              <w:t xml:space="preserve">Activity </w:t>
            </w:r>
            <w:r w:rsidR="00A0667C">
              <w:t>11.5</w:t>
            </w:r>
            <w:r w:rsidR="007473BF">
              <w:t xml:space="preserve"> Students read, reflect and perform an extract from </w:t>
            </w:r>
            <w:r w:rsidR="007473BF" w:rsidRPr="00B0398C">
              <w:rPr>
                <w:rStyle w:val="Emphasis"/>
              </w:rPr>
              <w:t>A Streetcar Named Desire</w:t>
            </w:r>
            <w:r w:rsidR="007473BF">
              <w:t>.</w:t>
            </w:r>
          </w:p>
          <w:p w:rsidR="007473BF" w:rsidRPr="00C201EB" w:rsidRDefault="00E054C1" w:rsidP="00B0398C">
            <w:pPr>
              <w:pStyle w:val="CUPBodytext"/>
            </w:pPr>
            <w:r>
              <w:t xml:space="preserve">Activity </w:t>
            </w:r>
            <w:r w:rsidR="007473BF">
              <w:t xml:space="preserve">11.6 Students learn terminology and apply their understanding to a scene from </w:t>
            </w:r>
            <w:r w:rsidR="007473BF" w:rsidRPr="00B0398C">
              <w:rPr>
                <w:rStyle w:val="Emphasis"/>
              </w:rPr>
              <w:t>A Streetcar Named Desire</w:t>
            </w:r>
            <w:r w:rsidR="00C201EB">
              <w:t>.</w:t>
            </w:r>
          </w:p>
          <w:p w:rsidR="00A0667C" w:rsidRPr="008B1B7C" w:rsidRDefault="00E054C1" w:rsidP="0092054E">
            <w:pPr>
              <w:pStyle w:val="CUPBodytext"/>
            </w:pPr>
            <w:r>
              <w:t xml:space="preserve">Activity </w:t>
            </w:r>
            <w:r w:rsidR="007473BF" w:rsidRPr="00CD50C1">
              <w:t>11.7</w:t>
            </w:r>
            <w:r w:rsidR="007473BF" w:rsidRPr="00B0398C">
              <w:rPr>
                <w:rStyle w:val="Emphasis"/>
              </w:rPr>
              <w:t xml:space="preserve"> </w:t>
            </w:r>
            <w:r w:rsidR="007473BF">
              <w:t>Students perform a scene from a play and/or transform prose fiction to dramatic text.</w:t>
            </w:r>
          </w:p>
        </w:tc>
      </w:tr>
      <w:tr w:rsidR="00A5448F" w:rsidRPr="008B1B7C" w:rsidTr="00C25D3E">
        <w:trPr>
          <w:trHeight w:val="1162"/>
        </w:trPr>
        <w:tc>
          <w:tcPr>
            <w:tcW w:w="5083" w:type="dxa"/>
          </w:tcPr>
          <w:p w:rsidR="00A5448F" w:rsidRPr="00B0398C" w:rsidRDefault="00A5448F" w:rsidP="00B0398C">
            <w:pPr>
              <w:pStyle w:val="CUPChead"/>
              <w:spacing w:before="120"/>
            </w:pPr>
            <w:r w:rsidRPr="00B0398C">
              <w:lastRenderedPageBreak/>
              <w:t xml:space="preserve">Texts – </w:t>
            </w:r>
            <w:r w:rsidR="0092054E">
              <w:t>p</w:t>
            </w:r>
            <w:r w:rsidRPr="00B0398C">
              <w:t>rint</w:t>
            </w:r>
          </w:p>
          <w:p w:rsidR="000A47AF" w:rsidRDefault="007050EA" w:rsidP="00B0398C">
            <w:pPr>
              <w:pStyle w:val="CUPBodytext"/>
            </w:pPr>
            <w:r>
              <w:t>Text 1.4</w:t>
            </w:r>
            <w:r w:rsidR="0092054E">
              <w:t>1</w:t>
            </w:r>
            <w:r>
              <w:t xml:space="preserve"> – </w:t>
            </w:r>
            <w:r w:rsidRPr="00B0398C">
              <w:rPr>
                <w:rStyle w:val="Emphasis"/>
              </w:rPr>
              <w:t>A Doll’s House</w:t>
            </w:r>
            <w:r>
              <w:t xml:space="preserve"> (extract)</w:t>
            </w:r>
          </w:p>
          <w:p w:rsidR="007050EA" w:rsidRPr="008B1B7C" w:rsidRDefault="007050EA" w:rsidP="0092054E">
            <w:pPr>
              <w:pStyle w:val="CUPBodytext"/>
            </w:pPr>
            <w:r>
              <w:t>Text 1.4</w:t>
            </w:r>
            <w:r w:rsidR="0092054E">
              <w:t>2</w:t>
            </w:r>
            <w:r>
              <w:t xml:space="preserve"> – </w:t>
            </w:r>
            <w:r w:rsidRPr="00B0398C">
              <w:rPr>
                <w:rStyle w:val="Emphasis"/>
              </w:rPr>
              <w:t>A Streetcar Named Desire</w:t>
            </w:r>
            <w:r>
              <w:t xml:space="preserve"> (extract)</w:t>
            </w:r>
          </w:p>
        </w:tc>
        <w:tc>
          <w:tcPr>
            <w:tcW w:w="5227" w:type="dxa"/>
          </w:tcPr>
          <w:p w:rsidR="00E054C1" w:rsidRPr="00B0398C" w:rsidRDefault="00E054C1" w:rsidP="00B0398C">
            <w:pPr>
              <w:pStyle w:val="CUPChead"/>
              <w:spacing w:before="120"/>
            </w:pPr>
            <w:r w:rsidRPr="00B0398C">
              <w:t xml:space="preserve">Suggested additional resources </w:t>
            </w:r>
          </w:p>
          <w:p w:rsidR="00DA681C" w:rsidRDefault="00E054C1" w:rsidP="00B0398C">
            <w:pPr>
              <w:pStyle w:val="CUPBodytext"/>
            </w:pPr>
            <w:r w:rsidRPr="00B0398C">
              <w:rPr>
                <w:rStyle w:val="Emphasis"/>
              </w:rPr>
              <w:t>How to Read a Play: Script Analysis for Directors</w:t>
            </w:r>
            <w:r>
              <w:t xml:space="preserve"> by Damon Kiely</w:t>
            </w:r>
          </w:p>
          <w:p w:rsidR="00A5448F" w:rsidRPr="008B1B7C" w:rsidRDefault="00DA681C" w:rsidP="00B0398C">
            <w:pPr>
              <w:pStyle w:val="CUPBodytext"/>
            </w:pPr>
            <w:r>
              <w:t xml:space="preserve">Plays by </w:t>
            </w:r>
            <w:r w:rsidR="0092054E">
              <w:t xml:space="preserve">William </w:t>
            </w:r>
            <w:r>
              <w:t>Shakespeare</w:t>
            </w:r>
          </w:p>
        </w:tc>
      </w:tr>
    </w:tbl>
    <w:p w:rsidR="0092054E" w:rsidRDefault="0092054E" w:rsidP="00B0398C">
      <w:pPr>
        <w:pStyle w:val="CUPBhead"/>
      </w:pPr>
    </w:p>
    <w:p w:rsidR="0092054E" w:rsidRDefault="0092054E">
      <w:pPr>
        <w:rPr>
          <w:rFonts w:ascii="Calibri" w:hAnsi="Calibri"/>
          <w:b/>
          <w:color w:val="222464"/>
          <w:sz w:val="40"/>
          <w:szCs w:val="30"/>
        </w:rPr>
      </w:pPr>
      <w:r>
        <w:br w:type="page"/>
      </w:r>
    </w:p>
    <w:p w:rsidR="00880716" w:rsidRPr="00B0398C" w:rsidRDefault="00880716" w:rsidP="00B0398C">
      <w:pPr>
        <w:pStyle w:val="CUPBhead"/>
      </w:pPr>
      <w:bookmarkStart w:id="0" w:name="_GoBack"/>
      <w:bookmarkEnd w:id="0"/>
      <w:r w:rsidRPr="008B1B7C">
        <w:lastRenderedPageBreak/>
        <w:t>Suggested lesson plan</w:t>
      </w:r>
    </w:p>
    <w:p w:rsidR="00880716" w:rsidRPr="008B1B7C" w:rsidRDefault="00880716" w:rsidP="00B0398C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92054E">
        <w:t>You</w:t>
      </w:r>
      <w:r>
        <w:t xml:space="preserve"> may also wish to select parts of the unit, and build these into later chapters that have a particular thematic focus. </w:t>
      </w:r>
    </w:p>
    <w:p w:rsidR="00880716" w:rsidRPr="00B0398C" w:rsidRDefault="00880716" w:rsidP="00C25D3E">
      <w:pPr>
        <w:pStyle w:val="CUPChead"/>
      </w:pPr>
      <w:r w:rsidRPr="00B0398C">
        <w:t>Lesson 1</w:t>
      </w:r>
    </w:p>
    <w:p w:rsidR="00880716" w:rsidRDefault="00880716" w:rsidP="00B0398C">
      <w:pPr>
        <w:pStyle w:val="CUPBodytext"/>
      </w:pPr>
      <w:r>
        <w:t>Activities 11.1 and 11.2</w:t>
      </w:r>
    </w:p>
    <w:p w:rsidR="00880716" w:rsidRPr="00B0398C" w:rsidRDefault="00880716" w:rsidP="00C25D3E">
      <w:pPr>
        <w:pStyle w:val="CUPChead"/>
      </w:pPr>
      <w:r w:rsidRPr="00B0398C">
        <w:t>Lesson 2</w:t>
      </w:r>
    </w:p>
    <w:p w:rsidR="00880716" w:rsidRPr="007473BF" w:rsidRDefault="00880716" w:rsidP="00B0398C">
      <w:pPr>
        <w:pStyle w:val="CUPBodytext"/>
      </w:pPr>
      <w:r>
        <w:t>Activities 11.3 and 11.4</w:t>
      </w:r>
    </w:p>
    <w:p w:rsidR="00880716" w:rsidRPr="00B0398C" w:rsidRDefault="00880716" w:rsidP="00C25D3E">
      <w:pPr>
        <w:pStyle w:val="CUPChead"/>
      </w:pPr>
      <w:r w:rsidRPr="00B0398C">
        <w:t>Lesson 3</w:t>
      </w:r>
    </w:p>
    <w:p w:rsidR="00880716" w:rsidRDefault="00880716" w:rsidP="00B0398C">
      <w:pPr>
        <w:pStyle w:val="CUPBodytext"/>
      </w:pPr>
      <w:r>
        <w:t>Activity 11.5</w:t>
      </w:r>
    </w:p>
    <w:p w:rsidR="00880716" w:rsidRPr="00B0398C" w:rsidRDefault="00880716" w:rsidP="00C25D3E">
      <w:pPr>
        <w:pStyle w:val="CUPChead"/>
      </w:pPr>
      <w:r w:rsidRPr="00B0398C">
        <w:t>Lesson 4</w:t>
      </w:r>
    </w:p>
    <w:p w:rsidR="00880716" w:rsidRDefault="00880716" w:rsidP="00B0398C">
      <w:pPr>
        <w:pStyle w:val="CUPBodytext"/>
      </w:pPr>
      <w:r>
        <w:t>Activity 11.6</w:t>
      </w:r>
    </w:p>
    <w:p w:rsidR="00880716" w:rsidRPr="00B0398C" w:rsidRDefault="00880716" w:rsidP="00C25D3E">
      <w:pPr>
        <w:pStyle w:val="CUPChead"/>
      </w:pPr>
      <w:r w:rsidRPr="00B0398C">
        <w:t>Lesson 5</w:t>
      </w:r>
    </w:p>
    <w:p w:rsidR="00556B0B" w:rsidRDefault="00880716" w:rsidP="00B0398C">
      <w:pPr>
        <w:pStyle w:val="CUPBodytext"/>
      </w:pPr>
      <w:r>
        <w:t xml:space="preserve">Activity </w:t>
      </w:r>
      <w:r w:rsidRPr="007473BF">
        <w:t>11.7</w:t>
      </w:r>
    </w:p>
    <w:sectPr w:rsidR="00556B0B" w:rsidSect="00880716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22" w:rsidRDefault="00410E22" w:rsidP="00880716">
      <w:r>
        <w:separator/>
      </w:r>
    </w:p>
  </w:endnote>
  <w:endnote w:type="continuationSeparator" w:id="0">
    <w:p w:rsidR="00410E22" w:rsidRDefault="00410E22" w:rsidP="0088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716" w:rsidRPr="00880716" w:rsidRDefault="00880716" w:rsidP="00880716">
    <w:pPr>
      <w:pStyle w:val="Footer"/>
      <w:spacing w:before="240"/>
      <w:ind w:left="-284"/>
      <w:rPr>
        <w:szCs w:val="20"/>
      </w:rPr>
    </w:pPr>
    <w:r w:rsidRPr="00880716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22" w:rsidRDefault="00410E22" w:rsidP="00880716">
      <w:r>
        <w:separator/>
      </w:r>
    </w:p>
  </w:footnote>
  <w:footnote w:type="continuationSeparator" w:id="0">
    <w:p w:rsidR="00410E22" w:rsidRDefault="00410E22" w:rsidP="00880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716" w:rsidRPr="00880716" w:rsidRDefault="000F3B15" w:rsidP="00880716">
    <w:pPr>
      <w:ind w:left="-851"/>
      <w:jc w:val="right"/>
      <w:rPr>
        <w:noProof/>
        <w:lang w:val="en-IN" w:eastAsia="en-IN"/>
      </w:rPr>
    </w:pPr>
    <w:r w:rsidRPr="000F3B15">
      <w:rPr>
        <w:noProof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56DD1"/>
    <w:multiLevelType w:val="hybridMultilevel"/>
    <w:tmpl w:val="75C0A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402E6"/>
    <w:rsid w:val="000A47AF"/>
    <w:rsid w:val="000B685C"/>
    <w:rsid w:val="000F3B15"/>
    <w:rsid w:val="00107235"/>
    <w:rsid w:val="0013118B"/>
    <w:rsid w:val="0017078C"/>
    <w:rsid w:val="00187ADE"/>
    <w:rsid w:val="00197521"/>
    <w:rsid w:val="001F281F"/>
    <w:rsid w:val="002D4A8C"/>
    <w:rsid w:val="002E2867"/>
    <w:rsid w:val="00340905"/>
    <w:rsid w:val="0034559B"/>
    <w:rsid w:val="00377D79"/>
    <w:rsid w:val="003D7A71"/>
    <w:rsid w:val="00410E22"/>
    <w:rsid w:val="004216F6"/>
    <w:rsid w:val="004C562F"/>
    <w:rsid w:val="004E4EA6"/>
    <w:rsid w:val="004F03E4"/>
    <w:rsid w:val="0055251D"/>
    <w:rsid w:val="00556B0B"/>
    <w:rsid w:val="005621F8"/>
    <w:rsid w:val="005B7C08"/>
    <w:rsid w:val="00664CE4"/>
    <w:rsid w:val="006B726D"/>
    <w:rsid w:val="006D4977"/>
    <w:rsid w:val="006D7CBF"/>
    <w:rsid w:val="007050EA"/>
    <w:rsid w:val="007473BF"/>
    <w:rsid w:val="00752B95"/>
    <w:rsid w:val="007B2064"/>
    <w:rsid w:val="007E0AE0"/>
    <w:rsid w:val="008164E3"/>
    <w:rsid w:val="0081769F"/>
    <w:rsid w:val="00880716"/>
    <w:rsid w:val="008E77B7"/>
    <w:rsid w:val="0092054E"/>
    <w:rsid w:val="00954D76"/>
    <w:rsid w:val="009658F1"/>
    <w:rsid w:val="009C6476"/>
    <w:rsid w:val="009D0EA7"/>
    <w:rsid w:val="009D3868"/>
    <w:rsid w:val="00A0667C"/>
    <w:rsid w:val="00A32BB8"/>
    <w:rsid w:val="00A5448F"/>
    <w:rsid w:val="00A6101F"/>
    <w:rsid w:val="00B01F3D"/>
    <w:rsid w:val="00B0398C"/>
    <w:rsid w:val="00B04647"/>
    <w:rsid w:val="00B31EE3"/>
    <w:rsid w:val="00B52076"/>
    <w:rsid w:val="00BB375B"/>
    <w:rsid w:val="00BC25F2"/>
    <w:rsid w:val="00BD56B5"/>
    <w:rsid w:val="00BF6ECB"/>
    <w:rsid w:val="00C201EB"/>
    <w:rsid w:val="00C25D3E"/>
    <w:rsid w:val="00C31C45"/>
    <w:rsid w:val="00C52816"/>
    <w:rsid w:val="00C77170"/>
    <w:rsid w:val="00C960FC"/>
    <w:rsid w:val="00CA127C"/>
    <w:rsid w:val="00CD50C1"/>
    <w:rsid w:val="00CF7B77"/>
    <w:rsid w:val="00D76A89"/>
    <w:rsid w:val="00D77B30"/>
    <w:rsid w:val="00D8719D"/>
    <w:rsid w:val="00D91FBE"/>
    <w:rsid w:val="00DA681C"/>
    <w:rsid w:val="00DE6C07"/>
    <w:rsid w:val="00DF5AB9"/>
    <w:rsid w:val="00E054C1"/>
    <w:rsid w:val="00E13946"/>
    <w:rsid w:val="00E412BA"/>
    <w:rsid w:val="00E43CB0"/>
    <w:rsid w:val="00E46434"/>
    <w:rsid w:val="00E77215"/>
    <w:rsid w:val="00E9449B"/>
    <w:rsid w:val="00F266D8"/>
    <w:rsid w:val="00F45BD2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B0F5614-BB93-4473-803E-F786287C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B77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39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39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98C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398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398C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77B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B30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B30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9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98C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039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98C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398C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0398C"/>
    <w:rPr>
      <w:rFonts w:ascii="Calibri" w:eastAsia="MS Mincho" w:hAnsi="Calibri" w:cs="Times New Roman"/>
      <w:sz w:val="20"/>
      <w:lang w:val="en-US"/>
    </w:rPr>
  </w:style>
  <w:style w:type="paragraph" w:customStyle="1" w:styleId="CUPSectionhead">
    <w:name w:val="CUP Section head"/>
    <w:basedOn w:val="CUPAhead"/>
    <w:qFormat/>
    <w:rsid w:val="00B0398C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Ahead">
    <w:name w:val="CUP A head"/>
    <w:basedOn w:val="Normal"/>
    <w:qFormat/>
    <w:rsid w:val="00B0398C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odytext">
    <w:name w:val="CUP Body text"/>
    <w:basedOn w:val="Normal"/>
    <w:qFormat/>
    <w:rsid w:val="00B0398C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Chead">
    <w:name w:val="CUP C head"/>
    <w:basedOn w:val="Normal"/>
    <w:qFormat/>
    <w:rsid w:val="00B0398C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Bullets">
    <w:name w:val="CUP Bullets"/>
    <w:qFormat/>
    <w:rsid w:val="00B0398C"/>
    <w:pPr>
      <w:numPr>
        <w:numId w:val="13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B0398C"/>
  </w:style>
  <w:style w:type="paragraph" w:customStyle="1" w:styleId="CUPBhead">
    <w:name w:val="CUP B head"/>
    <w:basedOn w:val="Normal"/>
    <w:qFormat/>
    <w:rsid w:val="00B0398C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B0398C"/>
    <w:pPr>
      <w:spacing w:before="120"/>
    </w:pPr>
  </w:style>
  <w:style w:type="paragraph" w:customStyle="1" w:styleId="CUPCheadafterBhead">
    <w:name w:val="CUP C head after B head"/>
    <w:basedOn w:val="CUPChead"/>
    <w:qFormat/>
    <w:rsid w:val="00B0398C"/>
    <w:pPr>
      <w:spacing w:before="0"/>
    </w:pPr>
  </w:style>
  <w:style w:type="paragraph" w:customStyle="1" w:styleId="CUPDhead">
    <w:name w:val="CUP D head"/>
    <w:basedOn w:val="Normal"/>
    <w:qFormat/>
    <w:rsid w:val="00B039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B0398C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B0398C"/>
    <w:pPr>
      <w:spacing w:before="240" w:after="0"/>
    </w:pPr>
  </w:style>
  <w:style w:type="paragraph" w:customStyle="1" w:styleId="CUPnoteboxhead">
    <w:name w:val="CUP note box head"/>
    <w:basedOn w:val="Normal"/>
    <w:qFormat/>
    <w:rsid w:val="00B03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B0398C"/>
    <w:pPr>
      <w:numPr>
        <w:numId w:val="11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B0398C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B0398C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B0398C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Tabletext">
    <w:name w:val="CUP Table text"/>
    <w:basedOn w:val="CUPBodytext"/>
    <w:qFormat/>
    <w:rsid w:val="00B0398C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B0398C"/>
    <w:rPr>
      <w:b/>
    </w:rPr>
  </w:style>
  <w:style w:type="paragraph" w:customStyle="1" w:styleId="Default">
    <w:name w:val="Default"/>
    <w:rsid w:val="00B0398C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039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398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B039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21</cp:revision>
  <dcterms:created xsi:type="dcterms:W3CDTF">2018-09-23T11:09:00Z</dcterms:created>
  <dcterms:modified xsi:type="dcterms:W3CDTF">2019-07-04T11:15:00Z</dcterms:modified>
</cp:coreProperties>
</file>